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903C" w14:textId="77777777" w:rsidR="00370118" w:rsidRDefault="00025C16">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河南理工大学纬度学术资源在线数据库</w:t>
      </w:r>
    </w:p>
    <w:p w14:paraId="62E806D1" w14:textId="77777777" w:rsidR="00370118" w:rsidRDefault="00025C16">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7A5A6287" w14:textId="77777777" w:rsidR="00370118" w:rsidRDefault="00370118">
      <w:pPr>
        <w:spacing w:line="300" w:lineRule="exact"/>
        <w:rPr>
          <w:rFonts w:ascii="宋体" w:hAnsi="宋体"/>
          <w:b/>
          <w:bCs/>
          <w:color w:val="000000"/>
          <w:sz w:val="24"/>
        </w:rPr>
      </w:pPr>
    </w:p>
    <w:p w14:paraId="7882D6BE" w14:textId="77777777" w:rsidR="00370118" w:rsidRDefault="00370118">
      <w:pPr>
        <w:spacing w:line="300" w:lineRule="exact"/>
        <w:rPr>
          <w:rFonts w:ascii="宋体" w:hAnsi="宋体"/>
          <w:b/>
          <w:bCs/>
          <w:color w:val="000000"/>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078"/>
      </w:tblGrid>
      <w:tr w:rsidR="00370118" w14:paraId="4E812BA6" w14:textId="77777777">
        <w:tc>
          <w:tcPr>
            <w:tcW w:w="4418" w:type="dxa"/>
            <w:vAlign w:val="center"/>
          </w:tcPr>
          <w:p w14:paraId="4E75210C" w14:textId="77777777" w:rsidR="00370118" w:rsidRDefault="00025C16">
            <w:pPr>
              <w:spacing w:line="360" w:lineRule="auto"/>
              <w:jc w:val="lef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2026-26</w:t>
            </w:r>
            <w:r>
              <w:rPr>
                <w:rFonts w:ascii="宋体" w:hAnsi="宋体" w:hint="eastAsia"/>
                <w:b/>
                <w:bCs/>
                <w:color w:val="000000"/>
                <w:sz w:val="24"/>
              </w:rPr>
              <w:t xml:space="preserve">             </w:t>
            </w:r>
          </w:p>
        </w:tc>
        <w:tc>
          <w:tcPr>
            <w:tcW w:w="4262" w:type="dxa"/>
            <w:vAlign w:val="center"/>
          </w:tcPr>
          <w:p w14:paraId="7E81A418" w14:textId="77777777" w:rsidR="00370118" w:rsidRDefault="00025C16">
            <w:pPr>
              <w:spacing w:line="360" w:lineRule="auto"/>
              <w:jc w:val="left"/>
              <w:rPr>
                <w:rFonts w:ascii="宋体" w:hAnsi="宋体"/>
                <w:b/>
                <w:bCs/>
                <w:color w:val="000000"/>
                <w:sz w:val="24"/>
              </w:rPr>
            </w:pPr>
            <w:r>
              <w:rPr>
                <w:rFonts w:ascii="宋体" w:hAnsi="宋体" w:hint="eastAsia"/>
                <w:b/>
                <w:bCs/>
                <w:color w:val="000000"/>
                <w:sz w:val="24"/>
              </w:rPr>
              <w:t>采购编号：</w:t>
            </w:r>
            <w:r>
              <w:rPr>
                <w:rFonts w:ascii="宋体" w:hAnsi="宋体"/>
                <w:b/>
                <w:bCs/>
                <w:color w:val="000000"/>
                <w:sz w:val="24"/>
              </w:rPr>
              <w:t>豫财单一采购-2026-65</w:t>
            </w:r>
          </w:p>
        </w:tc>
      </w:tr>
      <w:tr w:rsidR="00370118" w14:paraId="04CAFC8C" w14:textId="77777777">
        <w:tc>
          <w:tcPr>
            <w:tcW w:w="4418" w:type="dxa"/>
            <w:vAlign w:val="center"/>
          </w:tcPr>
          <w:p w14:paraId="4C744DC1" w14:textId="77777777" w:rsidR="00370118" w:rsidRDefault="00025C16">
            <w:pPr>
              <w:spacing w:line="360" w:lineRule="auto"/>
              <w:jc w:val="left"/>
              <w:rPr>
                <w:rFonts w:ascii="宋体" w:hAnsi="宋体"/>
                <w:b/>
                <w:bCs/>
                <w:color w:val="000000"/>
                <w:sz w:val="24"/>
              </w:rPr>
            </w:pPr>
            <w:r>
              <w:rPr>
                <w:rFonts w:ascii="宋体" w:hAnsi="宋体" w:hint="eastAsia"/>
                <w:b/>
                <w:bCs/>
                <w:color w:val="000000"/>
                <w:sz w:val="24"/>
              </w:rPr>
              <w:t xml:space="preserve">甲方：河南理工大学                   </w:t>
            </w:r>
          </w:p>
        </w:tc>
        <w:tc>
          <w:tcPr>
            <w:tcW w:w="4262" w:type="dxa"/>
            <w:vAlign w:val="center"/>
          </w:tcPr>
          <w:p w14:paraId="24D7C5C6" w14:textId="5DC0E57E" w:rsidR="00370118" w:rsidRDefault="00025C16">
            <w:pPr>
              <w:spacing w:line="360" w:lineRule="auto"/>
              <w:jc w:val="left"/>
              <w:rPr>
                <w:rFonts w:ascii="宋体" w:hAnsi="宋体"/>
                <w:b/>
                <w:bCs/>
                <w:color w:val="000000"/>
                <w:sz w:val="24"/>
              </w:rPr>
            </w:pPr>
            <w:r>
              <w:rPr>
                <w:rFonts w:ascii="宋体" w:hAnsi="宋体" w:hint="eastAsia"/>
                <w:b/>
                <w:bCs/>
                <w:color w:val="000000"/>
                <w:sz w:val="24"/>
              </w:rPr>
              <w:t>签订日期：2026</w:t>
            </w:r>
            <w:r w:rsidR="0040518F">
              <w:rPr>
                <w:rFonts w:ascii="宋体" w:hAnsi="宋体"/>
                <w:b/>
                <w:bCs/>
                <w:color w:val="000000"/>
                <w:sz w:val="24"/>
              </w:rPr>
              <w:t xml:space="preserve"> </w:t>
            </w:r>
            <w:r>
              <w:rPr>
                <w:rFonts w:ascii="宋体" w:hAnsi="宋体" w:hint="eastAsia"/>
                <w:b/>
                <w:bCs/>
                <w:color w:val="000000"/>
                <w:sz w:val="24"/>
              </w:rPr>
              <w:t>年</w:t>
            </w:r>
            <w:r w:rsidR="0040518F">
              <w:rPr>
                <w:rFonts w:ascii="宋体" w:hAnsi="宋体" w:hint="eastAsia"/>
                <w:b/>
                <w:bCs/>
                <w:color w:val="000000"/>
                <w:sz w:val="24"/>
              </w:rPr>
              <w:t xml:space="preserve"> </w:t>
            </w:r>
            <w:r w:rsidR="0040518F">
              <w:rPr>
                <w:rFonts w:ascii="宋体" w:hAnsi="宋体"/>
                <w:b/>
                <w:bCs/>
                <w:color w:val="000000"/>
                <w:sz w:val="24"/>
              </w:rPr>
              <w:t xml:space="preserve">7 </w:t>
            </w:r>
            <w:r>
              <w:rPr>
                <w:rFonts w:ascii="宋体" w:hAnsi="宋体" w:hint="eastAsia"/>
                <w:b/>
                <w:bCs/>
                <w:color w:val="000000"/>
                <w:sz w:val="24"/>
              </w:rPr>
              <w:t>月</w:t>
            </w:r>
            <w:r w:rsidR="0040518F">
              <w:rPr>
                <w:rFonts w:ascii="宋体" w:hAnsi="宋体" w:hint="eastAsia"/>
                <w:b/>
                <w:bCs/>
                <w:color w:val="000000"/>
                <w:sz w:val="24"/>
              </w:rPr>
              <w:t xml:space="preserve"> </w:t>
            </w:r>
            <w:r w:rsidR="0040518F">
              <w:rPr>
                <w:rFonts w:ascii="宋体" w:hAnsi="宋体"/>
                <w:b/>
                <w:bCs/>
                <w:color w:val="000000"/>
                <w:sz w:val="24"/>
              </w:rPr>
              <w:t xml:space="preserve">6 </w:t>
            </w:r>
            <w:r>
              <w:rPr>
                <w:rFonts w:ascii="宋体" w:hAnsi="宋体" w:hint="eastAsia"/>
                <w:b/>
                <w:bCs/>
                <w:color w:val="000000"/>
                <w:sz w:val="24"/>
              </w:rPr>
              <w:t>日</w:t>
            </w:r>
          </w:p>
        </w:tc>
      </w:tr>
      <w:tr w:rsidR="00370118" w14:paraId="15F7EE8F" w14:textId="77777777">
        <w:tc>
          <w:tcPr>
            <w:tcW w:w="4418" w:type="dxa"/>
            <w:vAlign w:val="center"/>
          </w:tcPr>
          <w:p w14:paraId="7A474280" w14:textId="77777777" w:rsidR="00370118" w:rsidRDefault="00025C16">
            <w:pPr>
              <w:spacing w:line="360" w:lineRule="auto"/>
              <w:jc w:val="left"/>
              <w:rPr>
                <w:rFonts w:ascii="宋体" w:hAnsi="宋体"/>
                <w:b/>
                <w:bCs/>
                <w:color w:val="000000"/>
                <w:sz w:val="24"/>
              </w:rPr>
            </w:pPr>
            <w:r>
              <w:rPr>
                <w:rFonts w:ascii="宋体" w:hAnsi="宋体" w:hint="eastAsia"/>
                <w:b/>
                <w:bCs/>
                <w:color w:val="000000"/>
                <w:sz w:val="24"/>
              </w:rPr>
              <w:t xml:space="preserve">乙方：湖南纬度信息科技有限公司       </w:t>
            </w:r>
          </w:p>
        </w:tc>
        <w:tc>
          <w:tcPr>
            <w:tcW w:w="4262" w:type="dxa"/>
            <w:vAlign w:val="center"/>
          </w:tcPr>
          <w:p w14:paraId="1ACF18D2" w14:textId="77777777" w:rsidR="00370118" w:rsidRDefault="00025C16">
            <w:pPr>
              <w:spacing w:line="360" w:lineRule="auto"/>
              <w:jc w:val="left"/>
              <w:rPr>
                <w:rFonts w:ascii="宋体" w:hAnsi="宋体"/>
                <w:b/>
                <w:bCs/>
                <w:color w:val="000000"/>
                <w:sz w:val="24"/>
              </w:rPr>
            </w:pPr>
            <w:r>
              <w:rPr>
                <w:rFonts w:ascii="宋体" w:hAnsi="宋体" w:hint="eastAsia"/>
                <w:b/>
                <w:bCs/>
                <w:color w:val="000000"/>
                <w:sz w:val="24"/>
              </w:rPr>
              <w:t>签订地点：河南理工大学南校区</w:t>
            </w:r>
          </w:p>
        </w:tc>
      </w:tr>
    </w:tbl>
    <w:p w14:paraId="63879540" w14:textId="77777777" w:rsidR="00370118" w:rsidRDefault="00025C16">
      <w:pPr>
        <w:spacing w:beforeLines="100" w:before="312"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纬度学术资源在线 </w:t>
      </w:r>
      <w:r>
        <w:rPr>
          <w:rFonts w:ascii="宋体" w:hAnsi="宋体"/>
          <w:sz w:val="24"/>
        </w:rPr>
        <w:t>相关服务事宜，协商一致</w:t>
      </w:r>
      <w:r>
        <w:rPr>
          <w:rFonts w:ascii="宋体" w:hAnsi="宋体"/>
          <w:color w:val="000000"/>
          <w:sz w:val="24"/>
        </w:rPr>
        <w:t>。达成如下意见，共同遵照执行。</w:t>
      </w:r>
    </w:p>
    <w:p w14:paraId="6375A605" w14:textId="77777777" w:rsidR="00370118" w:rsidRDefault="00025C16">
      <w:pPr>
        <w:spacing w:line="500" w:lineRule="exact"/>
        <w:ind w:firstLineChars="200" w:firstLine="482"/>
        <w:rPr>
          <w:rFonts w:ascii="宋体" w:hAnsi="宋体"/>
          <w:b/>
          <w:bCs/>
          <w:sz w:val="24"/>
        </w:rPr>
      </w:pPr>
      <w:r>
        <w:rPr>
          <w:rFonts w:ascii="宋体" w:hAnsi="宋体"/>
          <w:b/>
          <w:bCs/>
          <w:sz w:val="24"/>
        </w:rPr>
        <w:t>第一条 订购内容及付款约定</w:t>
      </w:r>
    </w:p>
    <w:p w14:paraId="336EEBA1" w14:textId="77777777" w:rsidR="00370118" w:rsidRDefault="00025C16">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纬度学术资源在线</w:t>
      </w:r>
    </w:p>
    <w:p w14:paraId="415242D9" w14:textId="77777777" w:rsidR="00370118" w:rsidRDefault="00025C16">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纬度学术资源在线包括学术期刊指南和学术搜索</w:t>
      </w:r>
    </w:p>
    <w:p w14:paraId="0BDB63FD" w14:textId="77777777" w:rsidR="00370118" w:rsidRDefault="00025C16">
      <w:pPr>
        <w:spacing w:line="500" w:lineRule="exact"/>
        <w:ind w:firstLineChars="196" w:firstLine="470"/>
        <w:rPr>
          <w:rFonts w:ascii="宋体" w:hAnsi="宋体"/>
          <w:sz w:val="24"/>
        </w:rPr>
      </w:pPr>
      <w:r>
        <w:rPr>
          <w:rFonts w:ascii="宋体" w:hAnsi="宋体"/>
          <w:bCs/>
          <w:sz w:val="24"/>
        </w:rPr>
        <w:t>3.许可使用期限：</w:t>
      </w:r>
      <w:r>
        <w:rPr>
          <w:rFonts w:ascii="宋体" w:hAnsi="宋体" w:hint="eastAsia"/>
          <w:sz w:val="24"/>
        </w:rPr>
        <w:t>1年（2026年9月1日至2027年8月31日）</w:t>
      </w:r>
    </w:p>
    <w:p w14:paraId="7A979CA0" w14:textId="77777777" w:rsidR="00370118" w:rsidRDefault="00025C16">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25609D6A" w14:textId="77777777" w:rsidR="00370118" w:rsidRDefault="00025C16">
      <w:pPr>
        <w:spacing w:line="500" w:lineRule="exact"/>
        <w:ind w:firstLineChars="200" w:firstLine="480"/>
        <w:rPr>
          <w:rFonts w:ascii="宋体" w:hAnsi="宋体"/>
          <w:sz w:val="24"/>
        </w:rPr>
      </w:pPr>
      <w:r>
        <w:rPr>
          <w:rFonts w:ascii="宋体" w:hAnsi="宋体" w:hint="eastAsia"/>
          <w:sz w:val="24"/>
        </w:rPr>
        <w:t>（1）验收</w:t>
      </w:r>
    </w:p>
    <w:p w14:paraId="0683A595" w14:textId="77777777" w:rsidR="00370118" w:rsidRDefault="00025C16">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0373EFD8" w14:textId="77777777" w:rsidR="00370118" w:rsidRDefault="00025C16">
      <w:pPr>
        <w:spacing w:line="500" w:lineRule="exact"/>
        <w:ind w:firstLineChars="200" w:firstLine="480"/>
        <w:rPr>
          <w:rFonts w:ascii="宋体" w:hAnsi="宋体"/>
          <w:sz w:val="24"/>
        </w:rPr>
      </w:pPr>
      <w:r>
        <w:rPr>
          <w:rFonts w:ascii="宋体" w:hAnsi="宋体" w:hint="eastAsia"/>
          <w:sz w:val="24"/>
        </w:rPr>
        <w:t>（2）付款</w:t>
      </w:r>
    </w:p>
    <w:p w14:paraId="11C4D31D" w14:textId="77777777" w:rsidR="00370118" w:rsidRDefault="00025C16">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46E3C85E" w14:textId="77777777" w:rsidR="00370118" w:rsidRDefault="00025C16">
      <w:pPr>
        <w:spacing w:line="500" w:lineRule="exact"/>
        <w:ind w:firstLineChars="200" w:firstLine="482"/>
        <w:rPr>
          <w:rFonts w:ascii="宋体" w:hAnsi="宋体"/>
          <w:color w:val="0000FF"/>
          <w:sz w:val="24"/>
        </w:rPr>
      </w:pPr>
      <w:r w:rsidRPr="00302EFD">
        <w:rPr>
          <w:rFonts w:ascii="宋体" w:hAnsi="宋体" w:hint="eastAsia"/>
          <w:b/>
          <w:bCs/>
          <w:sz w:val="24"/>
        </w:rPr>
        <w:t>共计支付</w:t>
      </w:r>
      <w:r w:rsidRPr="00302EFD">
        <w:rPr>
          <w:rFonts w:ascii="宋体" w:hAnsi="宋体"/>
          <w:b/>
          <w:bCs/>
          <w:sz w:val="24"/>
        </w:rPr>
        <w:t>人民币</w:t>
      </w:r>
      <w:r w:rsidRPr="00302EFD">
        <w:rPr>
          <w:rFonts w:ascii="宋体" w:hAnsi="宋体" w:hint="eastAsia"/>
          <w:b/>
          <w:bCs/>
          <w:sz w:val="24"/>
          <w:u w:val="single"/>
        </w:rPr>
        <w:t>140000.00</w:t>
      </w:r>
      <w:r w:rsidRPr="00302EFD">
        <w:rPr>
          <w:rFonts w:ascii="宋体" w:hAnsi="宋体" w:hint="eastAsia"/>
          <w:b/>
          <w:bCs/>
          <w:sz w:val="24"/>
        </w:rPr>
        <w:t>元，</w:t>
      </w:r>
      <w:r w:rsidRPr="00302EFD">
        <w:rPr>
          <w:rFonts w:ascii="宋体" w:hAnsi="宋体"/>
          <w:b/>
          <w:bCs/>
          <w:sz w:val="24"/>
        </w:rPr>
        <w:t>（大写）</w:t>
      </w:r>
      <w:r w:rsidRPr="00302EFD">
        <w:rPr>
          <w:rFonts w:ascii="宋体" w:hAnsi="宋体" w:hint="eastAsia"/>
          <w:b/>
          <w:bCs/>
          <w:sz w:val="24"/>
          <w:u w:val="single"/>
        </w:rPr>
        <w:t>壹拾肆万元整</w:t>
      </w:r>
      <w:r>
        <w:rPr>
          <w:rFonts w:ascii="宋体" w:hAnsi="宋体" w:hint="eastAsia"/>
          <w:sz w:val="24"/>
        </w:rPr>
        <w:t>。</w:t>
      </w:r>
    </w:p>
    <w:p w14:paraId="2B8A86E8" w14:textId="77777777" w:rsidR="00370118" w:rsidRDefault="00025C16">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7C663411" w14:textId="77777777" w:rsidR="00370118" w:rsidRDefault="00025C16">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u w:val="single"/>
        </w:rPr>
        <w:t>湖南纬度信息科技有限公司</w:t>
      </w:r>
    </w:p>
    <w:p w14:paraId="77E85C72" w14:textId="77777777" w:rsidR="00370118" w:rsidRDefault="00025C16">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u w:val="single"/>
        </w:rPr>
        <w:t>交通银行长沙溁湾镇支行</w:t>
      </w:r>
    </w:p>
    <w:p w14:paraId="282F6D63" w14:textId="77777777" w:rsidR="00370118" w:rsidRDefault="00025C16">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u w:val="single"/>
        </w:rPr>
        <w:t>431633000018170109363</w:t>
      </w:r>
    </w:p>
    <w:p w14:paraId="3E843F10" w14:textId="77777777" w:rsidR="00370118" w:rsidRDefault="00025C16">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72742951" w14:textId="77777777" w:rsidR="00370118" w:rsidRDefault="00025C16">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w:t>
      </w:r>
      <w:r>
        <w:rPr>
          <w:rFonts w:ascii="宋体" w:hAnsi="宋体"/>
          <w:sz w:val="24"/>
        </w:rPr>
        <w:lastRenderedPageBreak/>
        <w:t>权；</w:t>
      </w:r>
    </w:p>
    <w:p w14:paraId="6D6206D4" w14:textId="77777777" w:rsidR="00370118" w:rsidRDefault="00025C16">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64ACDD56" w14:textId="77777777" w:rsidR="00370118" w:rsidRDefault="00025C16">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6B422DA" w14:textId="77777777" w:rsidR="00370118" w:rsidRDefault="00025C16">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57A9F3A3" w14:textId="77777777" w:rsidR="00370118" w:rsidRDefault="00025C16">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2DF4AA61" w14:textId="77777777" w:rsidR="00370118" w:rsidRDefault="00025C16">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1E390FE0" w14:textId="77777777" w:rsidR="00370118" w:rsidRDefault="00025C16">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0E22C68A" w14:textId="77777777" w:rsidR="00370118" w:rsidRDefault="00025C16">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67275E84" w14:textId="77777777" w:rsidR="00370118" w:rsidRDefault="00025C16">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6C61EB9B" w14:textId="77777777" w:rsidR="00370118" w:rsidRDefault="00025C16">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03988A9B" w14:textId="77777777" w:rsidR="00370118" w:rsidRDefault="00025C16">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0E0A0200" w14:textId="77777777" w:rsidR="00370118" w:rsidRDefault="00025C16">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0FB7B7D" w14:textId="77777777" w:rsidR="00370118" w:rsidRDefault="00025C16">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3ABD3ACF" w14:textId="77777777" w:rsidR="00370118" w:rsidRDefault="00025C16">
      <w:pPr>
        <w:tabs>
          <w:tab w:val="left" w:pos="420"/>
        </w:tabs>
        <w:spacing w:line="500" w:lineRule="exact"/>
        <w:ind w:firstLineChars="200" w:firstLine="482"/>
        <w:rPr>
          <w:rFonts w:ascii="宋体" w:hAnsi="宋体"/>
          <w:sz w:val="24"/>
        </w:rPr>
      </w:pPr>
      <w:r>
        <w:rPr>
          <w:rFonts w:ascii="宋体" w:hAnsi="宋体"/>
          <w:b/>
          <w:bCs/>
          <w:sz w:val="24"/>
        </w:rPr>
        <w:t xml:space="preserve">第四条  咨询、技术支持和培训 </w:t>
      </w:r>
      <w:r>
        <w:rPr>
          <w:rFonts w:ascii="宋体" w:hAnsi="宋体"/>
          <w:sz w:val="24"/>
        </w:rPr>
        <w:t xml:space="preserve"> </w:t>
      </w:r>
    </w:p>
    <w:p w14:paraId="0885ED38" w14:textId="77777777" w:rsidR="00370118" w:rsidRDefault="00025C16">
      <w:pPr>
        <w:tabs>
          <w:tab w:val="left" w:pos="420"/>
        </w:tabs>
        <w:spacing w:line="500" w:lineRule="exact"/>
        <w:ind w:firstLineChars="200" w:firstLine="480"/>
        <w:rPr>
          <w:rFonts w:ascii="宋体" w:hAnsi="宋体"/>
          <w:sz w:val="24"/>
        </w:rPr>
      </w:pPr>
      <w:r>
        <w:rPr>
          <w:rFonts w:ascii="宋体" w:hAnsi="宋体"/>
          <w:sz w:val="24"/>
        </w:rPr>
        <w:lastRenderedPageBreak/>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14EA44E7" w14:textId="77777777" w:rsidR="00370118" w:rsidRDefault="00025C16">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7A62174C" w14:textId="77777777" w:rsidR="00370118" w:rsidRDefault="00025C16">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2024C675" w14:textId="77777777" w:rsidR="00370118" w:rsidRDefault="00025C16">
      <w:pPr>
        <w:spacing w:line="500" w:lineRule="exact"/>
        <w:ind w:firstLineChars="200" w:firstLine="482"/>
        <w:rPr>
          <w:rFonts w:ascii="宋体" w:hAnsi="宋体"/>
          <w:b/>
          <w:bCs/>
          <w:sz w:val="24"/>
        </w:rPr>
      </w:pPr>
      <w:r>
        <w:rPr>
          <w:rFonts w:ascii="宋体" w:hAnsi="宋体"/>
          <w:b/>
          <w:bCs/>
          <w:sz w:val="24"/>
        </w:rPr>
        <w:t>第六条 违约责任</w:t>
      </w:r>
    </w:p>
    <w:p w14:paraId="3DDE361E" w14:textId="77777777" w:rsidR="00370118" w:rsidRDefault="00025C16">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10CEFEE8" w14:textId="77777777" w:rsidR="00370118" w:rsidRDefault="00025C16">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7015D43C" w14:textId="77777777" w:rsidR="00370118" w:rsidRDefault="00025C16">
      <w:pPr>
        <w:spacing w:line="500" w:lineRule="exact"/>
        <w:ind w:firstLineChars="200" w:firstLine="482"/>
        <w:rPr>
          <w:rFonts w:ascii="宋体" w:hAnsi="宋体"/>
          <w:sz w:val="24"/>
        </w:rPr>
      </w:pPr>
      <w:r>
        <w:rPr>
          <w:rFonts w:ascii="宋体" w:hAnsi="宋体"/>
          <w:b/>
          <w:bCs/>
          <w:sz w:val="24"/>
        </w:rPr>
        <w:t>第七条 协议的变更和解除</w:t>
      </w:r>
    </w:p>
    <w:p w14:paraId="107BE65B" w14:textId="77777777" w:rsidR="00370118" w:rsidRDefault="00025C16">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7C40DB8A" w14:textId="77777777" w:rsidR="00370118" w:rsidRDefault="00025C16">
      <w:pPr>
        <w:spacing w:line="500" w:lineRule="exact"/>
        <w:ind w:firstLineChars="200" w:firstLine="480"/>
        <w:rPr>
          <w:rFonts w:ascii="宋体" w:hAnsi="宋体"/>
          <w:sz w:val="24"/>
        </w:rPr>
      </w:pPr>
      <w:r>
        <w:rPr>
          <w:rFonts w:ascii="宋体" w:hAnsi="宋体"/>
          <w:sz w:val="24"/>
        </w:rPr>
        <w:t>2.甲乙双方协商一致，可以解除本协议。</w:t>
      </w:r>
    </w:p>
    <w:p w14:paraId="5F333CF5" w14:textId="77777777" w:rsidR="00370118" w:rsidRDefault="00025C16">
      <w:pPr>
        <w:spacing w:line="500" w:lineRule="exact"/>
        <w:ind w:firstLineChars="200" w:firstLine="482"/>
        <w:rPr>
          <w:rFonts w:ascii="宋体" w:hAnsi="宋体"/>
          <w:sz w:val="24"/>
        </w:rPr>
      </w:pPr>
      <w:r>
        <w:rPr>
          <w:rFonts w:ascii="宋体" w:hAnsi="宋体"/>
          <w:b/>
          <w:bCs/>
          <w:sz w:val="24"/>
        </w:rPr>
        <w:t>第八条 解决纠纷方式</w:t>
      </w:r>
    </w:p>
    <w:p w14:paraId="4BB67EB6" w14:textId="77777777" w:rsidR="00370118" w:rsidRDefault="00025C16">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3327E1B0" w14:textId="77777777" w:rsidR="00370118" w:rsidRDefault="00025C16">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1C09E10D" w14:textId="77777777" w:rsidR="00370118" w:rsidRDefault="00025C16">
      <w:pPr>
        <w:spacing w:line="500" w:lineRule="exact"/>
        <w:ind w:firstLineChars="200" w:firstLine="482"/>
        <w:rPr>
          <w:rFonts w:ascii="宋体" w:hAnsi="宋体"/>
          <w:sz w:val="24"/>
        </w:rPr>
      </w:pPr>
      <w:r>
        <w:rPr>
          <w:rFonts w:ascii="宋体" w:hAnsi="宋体"/>
          <w:b/>
          <w:bCs/>
          <w:sz w:val="24"/>
        </w:rPr>
        <w:t>第九条 其他条款</w:t>
      </w:r>
    </w:p>
    <w:p w14:paraId="420B6778" w14:textId="77777777" w:rsidR="00370118" w:rsidRDefault="00025C16">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4A8D45D4" w14:textId="77777777" w:rsidR="00370118" w:rsidRDefault="00025C16">
      <w:pPr>
        <w:spacing w:line="500" w:lineRule="exact"/>
        <w:ind w:firstLineChars="200" w:firstLine="480"/>
        <w:rPr>
          <w:rFonts w:ascii="宋体" w:hAnsi="宋体"/>
          <w:sz w:val="24"/>
        </w:rPr>
      </w:pPr>
      <w:r>
        <w:rPr>
          <w:rFonts w:ascii="宋体" w:hAnsi="宋体" w:hint="eastAsia"/>
          <w:bCs/>
          <w:iCs/>
          <w:sz w:val="24"/>
        </w:rPr>
        <w:t>2</w:t>
      </w:r>
      <w:r>
        <w:rPr>
          <w:rFonts w:ascii="宋体" w:hAnsi="宋体"/>
          <w:bCs/>
          <w:iCs/>
          <w:sz w:val="24"/>
        </w:rPr>
        <w:t>.对本协议的任何修改或补充，包括订立补充协议、备忘录，必须通过书面方式进行，且经双方授权代表签字盖章后方为有效。上述文件为本协议不可分割的组成部分。</w:t>
      </w:r>
    </w:p>
    <w:p w14:paraId="78DB95A0" w14:textId="53E42DA4" w:rsidR="00370118" w:rsidRDefault="006775A4" w:rsidP="006775A4">
      <w:pPr>
        <w:tabs>
          <w:tab w:val="left" w:pos="420"/>
        </w:tabs>
        <w:spacing w:line="360" w:lineRule="auto"/>
        <w:ind w:firstLineChars="200" w:firstLine="480"/>
      </w:pPr>
      <w:r>
        <w:rPr>
          <w:rFonts w:ascii="宋体" w:hAnsi="宋体" w:hint="eastAsia"/>
          <w:bCs/>
          <w:iCs/>
          <w:noProof/>
          <w:sz w:val="24"/>
        </w:rPr>
        <w:lastRenderedPageBreak/>
        <w:drawing>
          <wp:inline distT="0" distB="0" distL="0" distR="0" wp14:anchorId="34E5AEEC" wp14:editId="74B5215D">
            <wp:extent cx="5548630" cy="78387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5550417" cy="7841309"/>
                    </a:xfrm>
                    <a:prstGeom prst="rect">
                      <a:avLst/>
                    </a:prstGeom>
                  </pic:spPr>
                </pic:pic>
              </a:graphicData>
            </a:graphic>
          </wp:inline>
        </w:drawing>
      </w:r>
    </w:p>
    <w:sectPr w:rsidR="00370118">
      <w:footerReference w:type="default" r:id="rId8"/>
      <w:pgSz w:w="11906" w:h="16838"/>
      <w:pgMar w:top="1440" w:right="180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CA08" w14:textId="77777777" w:rsidR="00583480" w:rsidRDefault="00583480">
      <w:r>
        <w:separator/>
      </w:r>
    </w:p>
  </w:endnote>
  <w:endnote w:type="continuationSeparator" w:id="0">
    <w:p w14:paraId="4DFDB18D" w14:textId="77777777" w:rsidR="00583480" w:rsidRDefault="0058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DD43" w14:textId="77777777" w:rsidR="00370118" w:rsidRDefault="00025C16">
    <w:pPr>
      <w:pStyle w:val="a3"/>
      <w:jc w:val="center"/>
    </w:pPr>
    <w:r>
      <w:rPr>
        <w:noProof/>
      </w:rPr>
      <mc:AlternateContent>
        <mc:Choice Requires="wps">
          <w:drawing>
            <wp:anchor distT="0" distB="0" distL="114300" distR="114300" simplePos="0" relativeHeight="251659264" behindDoc="0" locked="0" layoutInCell="1" allowOverlap="1" wp14:anchorId="592C2361" wp14:editId="0D5618F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824E1" w14:textId="77777777" w:rsidR="00370118" w:rsidRDefault="00025C16">
                          <w:pPr>
                            <w:pStyle w:val="a3"/>
                          </w:pPr>
                          <w:r>
                            <w:t xml:space="preserve">第 </w:t>
                          </w:r>
                          <w:r>
                            <w:fldChar w:fldCharType="begin"/>
                          </w:r>
                          <w:r>
                            <w:instrText xml:space="preserve"> PAGE  \* MERGEFORMAT </w:instrText>
                          </w:r>
                          <w:r>
                            <w:fldChar w:fldCharType="separate"/>
                          </w:r>
                          <w:r>
                            <w:t>1</w:t>
                          </w:r>
                          <w:r>
                            <w:fldChar w:fldCharType="end"/>
                          </w:r>
                          <w:r>
                            <w:t xml:space="preserve"> 页 共 </w:t>
                          </w:r>
                          <w:r w:rsidR="00583480">
                            <w:fldChar w:fldCharType="begin"/>
                          </w:r>
                          <w:r w:rsidR="00583480">
                            <w:instrText xml:space="preserve"> NUMPAGES  \* MERGEFORMAT </w:instrText>
                          </w:r>
                          <w:r w:rsidR="00583480">
                            <w:fldChar w:fldCharType="separate"/>
                          </w:r>
                          <w:r>
                            <w:t>4</w:t>
                          </w:r>
                          <w:r w:rsidR="00583480">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F183C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07072F5B" w14:textId="77777777" w:rsidR="00370118" w:rsidRDefault="003701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EA4D" w14:textId="77777777" w:rsidR="00583480" w:rsidRDefault="00583480">
      <w:r>
        <w:separator/>
      </w:r>
    </w:p>
  </w:footnote>
  <w:footnote w:type="continuationSeparator" w:id="0">
    <w:p w14:paraId="15FB2477" w14:textId="77777777" w:rsidR="00583480" w:rsidRDefault="00583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25C16"/>
    <w:rsid w:val="000577F0"/>
    <w:rsid w:val="000965D7"/>
    <w:rsid w:val="002C0287"/>
    <w:rsid w:val="00302EFD"/>
    <w:rsid w:val="00322822"/>
    <w:rsid w:val="00370118"/>
    <w:rsid w:val="003D3A78"/>
    <w:rsid w:val="0040518F"/>
    <w:rsid w:val="00583480"/>
    <w:rsid w:val="005B7332"/>
    <w:rsid w:val="006775A4"/>
    <w:rsid w:val="00692730"/>
    <w:rsid w:val="007379A6"/>
    <w:rsid w:val="008127CC"/>
    <w:rsid w:val="0091065D"/>
    <w:rsid w:val="00945976"/>
    <w:rsid w:val="00A213E8"/>
    <w:rsid w:val="00A73665"/>
    <w:rsid w:val="00AB4A9A"/>
    <w:rsid w:val="00AD7327"/>
    <w:rsid w:val="00AE057F"/>
    <w:rsid w:val="00BA0C6C"/>
    <w:rsid w:val="00DC0963"/>
    <w:rsid w:val="00DD46D1"/>
    <w:rsid w:val="00EE7847"/>
    <w:rsid w:val="042518DB"/>
    <w:rsid w:val="19C0009F"/>
    <w:rsid w:val="33CE637D"/>
    <w:rsid w:val="3A173499"/>
    <w:rsid w:val="3D402D06"/>
    <w:rsid w:val="43071158"/>
    <w:rsid w:val="5C3A22AB"/>
    <w:rsid w:val="6FF43BD5"/>
    <w:rsid w:val="7E47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DDEE"/>
  <w15:docId w15:val="{C7863927-759C-4F97-B005-C5F1A002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34</cp:revision>
  <cp:lastPrinted>2026-06-30T09:21:00Z</cp:lastPrinted>
  <dcterms:created xsi:type="dcterms:W3CDTF">2026-06-29T00:42:00Z</dcterms:created>
  <dcterms:modified xsi:type="dcterms:W3CDTF">2026-07-06T07:18:00Z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2B6CE1D69F5144A69C12793577C35774_12</vt:lpwstr>
  </property>
</Properties>
</file>